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5D" w:rsidRDefault="00CF4AA8">
      <w:pPr>
        <w:ind w:firstLineChars="100" w:firstLine="482"/>
        <w:jc w:val="left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２０１５</w:t>
      </w:r>
      <w:r>
        <w:rPr>
          <w:rFonts w:ascii="HG丸ｺﾞｼｯｸM-PRO" w:eastAsia="HG丸ｺﾞｼｯｸM-PRO"/>
          <w:b/>
          <w:bCs/>
          <w:i/>
          <w:iCs/>
          <w:kern w:val="0"/>
          <w:sz w:val="48"/>
        </w:rPr>
        <w:t>年</w:t>
      </w:r>
      <w:r w:rsidR="00B72697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>５月</w:t>
      </w:r>
      <w:r w:rsidR="00A6791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刊行　</w:t>
      </w:r>
      <w:r w:rsidR="00A67916">
        <w:rPr>
          <w:rFonts w:ascii="HG丸ｺﾞｼｯｸM-PRO" w:eastAsia="HG丸ｺﾞｼｯｸM-PRO"/>
          <w:b/>
          <w:bCs/>
          <w:i/>
          <w:iCs/>
          <w:kern w:val="0"/>
          <w:sz w:val="48"/>
        </w:rPr>
        <w:t xml:space="preserve">　　</w:t>
      </w:r>
      <w:r w:rsidR="0022165D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9A1E0F"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inline distT="0" distB="0" distL="0" distR="0">
            <wp:extent cx="2333625" cy="514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22165D" w:rsidTr="00C722C0">
        <w:trPr>
          <w:trHeight w:val="8550"/>
        </w:trPr>
        <w:tc>
          <w:tcPr>
            <w:tcW w:w="9495" w:type="dxa"/>
            <w:tcBorders>
              <w:bottom w:val="threeDEmboss" w:sz="24" w:space="0" w:color="auto"/>
            </w:tcBorders>
          </w:tcPr>
          <w:p w:rsidR="0022165D" w:rsidRPr="002424D7" w:rsidRDefault="00B72697" w:rsidP="00B72697">
            <w:pPr>
              <w:tabs>
                <w:tab w:val="center" w:pos="5008"/>
              </w:tabs>
              <w:ind w:firstLineChars="200" w:firstLine="960"/>
              <w:rPr>
                <w:rFonts w:eastAsia="HGP創英角ｺﾞｼｯｸUB" w:hAnsi="Times New Roman"/>
                <w:kern w:val="0"/>
                <w:sz w:val="48"/>
                <w:szCs w:val="48"/>
              </w:rPr>
            </w:pPr>
            <w:r w:rsidRPr="002424D7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こんなに</w:t>
            </w:r>
            <w:r w:rsidR="00D91A59">
              <w:rPr>
                <w:rFonts w:eastAsia="HGP創英角ｺﾞｼｯｸUB" w:hAnsi="Times New Roman"/>
                <w:kern w:val="0"/>
                <w:sz w:val="48"/>
                <w:szCs w:val="48"/>
              </w:rPr>
              <w:t>安心</w:t>
            </w:r>
            <w:r w:rsidR="00D91A59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・</w:t>
            </w:r>
            <w:r w:rsidRPr="002424D7">
              <w:rPr>
                <w:rFonts w:eastAsia="HGP創英角ｺﾞｼｯｸUB" w:hAnsi="Times New Roman"/>
                <w:kern w:val="0"/>
                <w:sz w:val="48"/>
                <w:szCs w:val="48"/>
              </w:rPr>
              <w:t>有利！</w:t>
            </w:r>
          </w:p>
          <w:p w:rsidR="0022165D" w:rsidRPr="00B72697" w:rsidRDefault="00B72697" w:rsidP="00B72697">
            <w:pPr>
              <w:ind w:firstLineChars="250" w:firstLine="1800"/>
              <w:rPr>
                <w:rFonts w:eastAsia="HGP創英角ｺﾞｼｯｸUB" w:hAnsi="Times New Roman"/>
                <w:kern w:val="0"/>
                <w:sz w:val="72"/>
                <w:szCs w:val="72"/>
              </w:rPr>
            </w:pPr>
            <w:r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農</w:t>
            </w:r>
            <w:r w:rsidR="0078609B"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業</w:t>
            </w:r>
            <w:r w:rsidR="0078609B"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者</w:t>
            </w:r>
            <w:r w:rsidR="0078609B"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年</w:t>
            </w:r>
            <w:r w:rsidR="0078609B"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Pr="005719D7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>金</w:t>
            </w:r>
            <w:r w:rsidR="000B1EAE">
              <w:rPr>
                <w:rFonts w:eastAsia="HGP創英角ｺﾞｼｯｸUB" w:hAnsi="Times New Roman" w:hint="eastAsia"/>
                <w:kern w:val="0"/>
                <w:sz w:val="72"/>
                <w:szCs w:val="72"/>
              </w:rPr>
              <w:t xml:space="preserve"> </w:t>
            </w:r>
            <w:r w:rsidR="003E08D9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１２</w:t>
            </w:r>
            <w:r w:rsidR="000B1EAE" w:rsidRPr="0078609B">
              <w:rPr>
                <w:rFonts w:eastAsia="HGP創英角ｺﾞｼｯｸUB" w:hAnsi="Times New Roman" w:hint="eastAsia"/>
                <w:kern w:val="0"/>
                <w:sz w:val="48"/>
                <w:szCs w:val="48"/>
              </w:rPr>
              <w:t>話</w:t>
            </w:r>
          </w:p>
          <w:p w:rsidR="000B1EAE" w:rsidRDefault="002479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特定社会保険労務士</w:t>
            </w:r>
            <w:r w:rsidR="000B1EAE">
              <w:rPr>
                <w:rFonts w:ascii="ＭＳ ゴシック" w:eastAsia="ＭＳ ゴシック" w:hAnsi="ＭＳ ゴシック" w:hint="eastAsia"/>
                <w:sz w:val="22"/>
              </w:rPr>
              <w:t>・福島邦子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B1EAE">
              <w:rPr>
                <w:rFonts w:ascii="ＭＳ ゴシック" w:eastAsia="ＭＳ ゴシック" w:hAnsi="ＭＳ ゴシック" w:hint="eastAsia"/>
                <w:sz w:val="22"/>
              </w:rPr>
              <w:t>著</w:t>
            </w:r>
          </w:p>
          <w:p w:rsidR="0022165D" w:rsidRDefault="00280880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27</w:t>
            </w:r>
            <w:r w:rsidR="00B726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-03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Ａ4判・</w:t>
            </w:r>
            <w:r w:rsidR="00B726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22165D" w:rsidRPr="00CF4AA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CF4AA8" w:rsidRPr="00CF4AA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10％税込16</w:t>
            </w:r>
            <w:r w:rsidR="00CF4AA8" w:rsidRPr="00CF4AA8"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 w:rsidR="00CF4AA8" w:rsidRPr="00CF4AA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2216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・送料実費</w:t>
            </w:r>
          </w:p>
          <w:p w:rsidR="0022165D" w:rsidRPr="0078609B" w:rsidRDefault="000B1EAE" w:rsidP="0078609B">
            <w:pPr>
              <w:jc w:val="center"/>
              <w:rPr>
                <w:rFonts w:ascii="HG丸ｺﾞｼｯｸM-PRO" w:eastAsia="HG丸ｺﾞｼｯｸM-PRO" w:hAnsi="ＭＳ 明朝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農業者年金制度</w:t>
            </w:r>
            <w:r w:rsidR="0022165D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の</w:t>
            </w:r>
            <w:r w:rsidR="0071684F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魅力とメリット</w:t>
            </w:r>
            <w:r w:rsidR="0022165D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を</w:t>
            </w:r>
            <w:r w:rsidR="0078609B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やさ</w:t>
            </w:r>
            <w:r w:rsidR="006A7476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しく</w:t>
            </w:r>
            <w:r w:rsidR="0078609B">
              <w:rPr>
                <w:rFonts w:ascii="HG丸ｺﾞｼｯｸM-PRO" w:eastAsia="HG丸ｺﾞｼｯｸM-PRO" w:hAnsi="ＭＳ 明朝" w:hint="eastAsia"/>
                <w:b/>
                <w:bCs/>
                <w:sz w:val="26"/>
                <w:szCs w:val="26"/>
              </w:rPr>
              <w:t>解説</w:t>
            </w:r>
          </w:p>
          <w:p w:rsidR="0022165D" w:rsidRDefault="00767216" w:rsidP="00AD5035">
            <w:pPr>
              <w:ind w:firstLineChars="100" w:firstLine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F85E50D" wp14:editId="4EB1234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17780</wp:posOffset>
                  </wp:positionV>
                  <wp:extent cx="2371725" cy="3357604"/>
                  <wp:effectExtent l="19050" t="19050" r="9525" b="1460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357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E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1F9F35" wp14:editId="2F2B797D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15875</wp:posOffset>
                      </wp:positionV>
                      <wp:extent cx="3098165" cy="3257550"/>
                      <wp:effectExtent l="10795" t="6350" r="5715" b="1270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325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1DB" w:rsidRDefault="0078609B" w:rsidP="002D5667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農業者年金の良さを特定社会保険労務士の立場から、12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回に分けて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やさ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しく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解説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しました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年金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の魅力に惹かれて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著者自身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しているだけに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説得力があ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ります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。農業者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読んで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「なるほど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納得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！」と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う</w:t>
                                  </w:r>
                                  <w:r w:rsidR="006D26C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一点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 w:rsidR="006071D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。家族で回し読みしてもらえば、「加入しよう！」という気にさせること間違いなしです</w:t>
                                  </w:r>
                                  <w:r w:rsidR="0071684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0B1D32" w:rsidRDefault="0078609B" w:rsidP="002D5667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加入を勧める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22165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委員、ＪＡ関係者、加入推進部長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の方々にも読んでほしいパンフ</w:t>
                                  </w:r>
                                  <w:r w:rsidR="000B1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です。</w:t>
                                  </w:r>
                                </w:p>
                                <w:p w:rsidR="006D26C6" w:rsidRDefault="000B1D32" w:rsidP="002D5667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研修会はもちろん、加入推進の戸別訪問で農家に配布する資料としても最適</w:t>
                                  </w:r>
                                  <w:r w:rsidR="00F9507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767216" w:rsidRDefault="006D26C6" w:rsidP="00767216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本冊子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は農業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者年金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情報</w:t>
                                  </w:r>
                                  <w:r w:rsidR="00E87B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誌「のうね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ん」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平成25年５月号～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 w:rsidR="00E87B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年３月号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に同じタイトルで12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回にわたって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連載したものに加筆し</w:t>
                                  </w:r>
                                  <w:r w:rsidR="00D02D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て</w:t>
                                  </w:r>
                                  <w:r w:rsidR="0078609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、１冊にまとめたものです。</w:t>
                                  </w:r>
                                </w:p>
                                <w:p w:rsidR="001A1505" w:rsidRDefault="0078609B" w:rsidP="001A1505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１～12話のテーマは次の通り。</w:t>
                                  </w:r>
                                </w:p>
                                <w:p w:rsidR="0022165D" w:rsidRPr="001A1505" w:rsidRDefault="001A1505" w:rsidP="001A1505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明朝" w:eastAsia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①積立</w:t>
                                  </w:r>
                                  <w:r w:rsidRPr="001A15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方式②確定拠出型③国民年金基金④女性の年金権⑤保険料の自由設定⑥資産運用その１⑦資産運用その２⑧税制優遇その１⑨税制優遇その２⑩終身年金⑪</w:t>
                                  </w:r>
                                  <w:r w:rsidR="00875F1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保険料の</w:t>
                                  </w:r>
                                  <w:r w:rsidRPr="001A15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国庫補助⑫加入推進に自身を！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F9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12.35pt;margin-top:1.25pt;width:243.95pt;height:2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">
                      <v:textbox inset="5.85pt,.7pt,5.85pt,.7pt">
                        <w:txbxContent>
                          <w:p w:rsidR="006071DB" w:rsidRDefault="0078609B" w:rsidP="002D566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農業者年金の良さを特定社会保険労務士の立場から、12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回に分けて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やさ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しく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解説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しました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D02D3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年金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の魅力に惹かれて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著者自身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加入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しているだけに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説得力があ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ります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。農業者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読んで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「なるほど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納得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！」と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う</w:t>
                            </w:r>
                            <w:r w:rsidR="006D26C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一点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 w:rsidR="006071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。家族で回し読みしてもらえば、「加入しよう！」という気にさせること間違いなしです</w:t>
                            </w:r>
                            <w:r w:rsidR="007168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B1D32" w:rsidRDefault="0078609B" w:rsidP="002D566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加入を勧める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2216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委員、ＪＡ関係者、加入推進部長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の方々にも読んでほしいパンフ</w:t>
                            </w:r>
                            <w:r w:rsidR="000B1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6D26C6" w:rsidRDefault="000B1D32" w:rsidP="002D5667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研修会はもちろん、加入推進の戸別訪問で農家に配布する資料としても最適</w:t>
                            </w:r>
                            <w:r w:rsidR="00F950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67216" w:rsidRDefault="006D26C6" w:rsidP="00767216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本冊子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は農業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者年金</w:t>
                            </w:r>
                            <w:r w:rsidR="00D02D3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情報</w:t>
                            </w:r>
                            <w:r w:rsidR="00E87B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誌「のうね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ん」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平成25年５月号～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27</w:t>
                            </w:r>
                            <w:r w:rsidR="00E87B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年３月号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に同じタイトルで12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回にわたって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連載したものに加筆し</w:t>
                            </w:r>
                            <w:r w:rsidR="00D02D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て</w:t>
                            </w:r>
                            <w:r w:rsidR="007860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、１冊にまとめたものです。</w:t>
                            </w:r>
                          </w:p>
                          <w:p w:rsidR="001A1505" w:rsidRDefault="0078609B" w:rsidP="001A150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１～12話のテーマは次の通り。</w:t>
                            </w:r>
                          </w:p>
                          <w:p w:rsidR="0022165D" w:rsidRPr="001A1505" w:rsidRDefault="001A1505" w:rsidP="001A150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①積立</w:t>
                            </w:r>
                            <w:r w:rsidRPr="001A15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方式②確定拠出型③国民年金基金④女性の年金権⑤保険料の自由設定⑥資産運用その１⑦資産運用その２⑧税制優遇その１⑨税制優遇その２⑩終身年金⑪</w:t>
                            </w:r>
                            <w:r w:rsidR="00875F1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保険料の</w:t>
                            </w:r>
                            <w:r w:rsidRPr="001A15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国庫補助⑫加入推進に自身を！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65D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</w:p>
    <w:p w:rsidR="0024793A" w:rsidRDefault="0024793A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編集製作　（株）農林水産広報センター</w:t>
      </w:r>
    </w:p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</w:t>
      </w:r>
      <w:r w:rsidR="0024793A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行　</w:t>
      </w:r>
      <w:r w:rsidR="0024793A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sz w:val="24"/>
        </w:rPr>
        <w:t>全国農業会議所</w:t>
      </w:r>
      <w:r>
        <w:rPr>
          <w:rFonts w:ascii="ＭＳ ゴシック" w:eastAsia="ＭＳ ゴシック" w:hint="eastAsia"/>
        </w:rPr>
        <w:t xml:space="preserve">　　　　〒102-0084　東京都千代田区二番町9-8 中央労働基準協会ビル</w:t>
      </w:r>
    </w:p>
    <w:p w:rsidR="0022165D" w:rsidRDefault="0022165D">
      <w:pPr>
        <w:spacing w:line="60" w:lineRule="auto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TEL 　03-6910-1131   </w:t>
      </w:r>
      <w:hyperlink r:id="rId7" w:history="1">
        <w:r>
          <w:rPr>
            <w:rStyle w:val="a6"/>
            <w:rFonts w:ascii="ＭＳ ゴシック" w:eastAsia="ＭＳ ゴシック" w:hint="eastAsia"/>
          </w:rPr>
          <w:t>http://www.nca.or.jp/tosho/</w:t>
        </w:r>
      </w:hyperlink>
    </w:p>
    <w:p w:rsidR="0022165D" w:rsidRDefault="0022165D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p w:rsidR="0022165D" w:rsidRDefault="0022165D">
      <w:pPr>
        <w:spacing w:line="60" w:lineRule="auto"/>
        <w:ind w:firstLineChars="200" w:firstLine="420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481"/>
        <w:gridCol w:w="1785"/>
      </w:tblGrid>
      <w:tr w:rsidR="0022165D">
        <w:trPr>
          <w:cantSplit/>
          <w:trHeight w:val="330"/>
        </w:trPr>
        <w:tc>
          <w:tcPr>
            <w:tcW w:w="459" w:type="dxa"/>
            <w:vMerge w:val="restart"/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</w:p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090" w:type="dxa"/>
            <w:gridSpan w:val="4"/>
            <w:tcBorders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22165D">
        <w:trPr>
          <w:cantSplit/>
          <w:trHeight w:val="32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90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22165D">
        <w:trPr>
          <w:cantSplit/>
          <w:trHeight w:val="303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26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22165D">
        <w:trPr>
          <w:cantSplit/>
          <w:trHeight w:val="25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280880">
              <w:rPr>
                <w:rFonts w:ascii="ＭＳ ゴシック" w:eastAsia="ＭＳ ゴシック" w:hAnsi="ＭＳ ゴシック" w:hint="eastAsia"/>
                <w:sz w:val="24"/>
              </w:rPr>
              <w:t>27</w:t>
            </w:r>
            <w:r w:rsidR="007A5E36">
              <w:rPr>
                <w:rFonts w:ascii="ＭＳ ゴシック" w:eastAsia="ＭＳ ゴシック" w:hAnsi="ＭＳ ゴシック" w:hint="eastAsia"/>
                <w:sz w:val="24"/>
              </w:rPr>
              <w:t>-03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 w:rsidP="008644D1">
            <w:pPr>
              <w:ind w:left="1200" w:hangingChars="500" w:hanging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7A5E36">
              <w:rPr>
                <w:rFonts w:ascii="ＭＳ ゴシック" w:eastAsia="ＭＳ ゴシック" w:hAnsi="ＭＳ ゴシック" w:hint="eastAsia"/>
                <w:szCs w:val="21"/>
              </w:rPr>
              <w:t>こんなに</w:t>
            </w:r>
            <w:r w:rsidR="007A5E36">
              <w:rPr>
                <w:rFonts w:ascii="ＭＳ ゴシック" w:eastAsia="ＭＳ ゴシック" w:hAnsi="ＭＳ ゴシック"/>
                <w:szCs w:val="21"/>
              </w:rPr>
              <w:t>安心、有利！農業者</w:t>
            </w:r>
            <w:r w:rsidR="007A5E36">
              <w:rPr>
                <w:rFonts w:ascii="ＭＳ ゴシック" w:eastAsia="ＭＳ ゴシック" w:hAnsi="ＭＳ ゴシック" w:hint="eastAsia"/>
                <w:szCs w:val="21"/>
              </w:rPr>
              <w:t>年金</w:t>
            </w:r>
            <w:r w:rsidR="008644D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E08D9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8644D1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3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37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22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300"/>
        </w:trPr>
        <w:tc>
          <w:tcPr>
            <w:tcW w:w="459" w:type="dxa"/>
            <w:vMerge/>
          </w:tcPr>
          <w:p w:rsidR="0022165D" w:rsidRDefault="0022165D">
            <w:pPr>
              <w:rPr>
                <w:rFonts w:asci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165D" w:rsidRDefault="00221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部数：　　　部</w:t>
            </w:r>
          </w:p>
        </w:tc>
      </w:tr>
      <w:tr w:rsidR="0022165D">
        <w:trPr>
          <w:cantSplit/>
          <w:trHeight w:val="511"/>
        </w:trPr>
        <w:tc>
          <w:tcPr>
            <w:tcW w:w="9549" w:type="dxa"/>
            <w:gridSpan w:val="5"/>
            <w:tcBorders>
              <w:bottom w:val="single" w:sz="4" w:space="0" w:color="auto"/>
            </w:tcBorders>
          </w:tcPr>
          <w:p w:rsidR="0022165D" w:rsidRDefault="0022165D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22165D" w:rsidRDefault="0022165D" w:rsidP="00C722C0">
      <w:pPr>
        <w:pStyle w:val="a7"/>
        <w:tabs>
          <w:tab w:val="clear" w:pos="4252"/>
          <w:tab w:val="clear" w:pos="8504"/>
        </w:tabs>
        <w:snapToGrid/>
        <w:spacing w:line="60" w:lineRule="auto"/>
      </w:pPr>
    </w:p>
    <w:sectPr w:rsidR="0022165D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4632F68"/>
    <w:multiLevelType w:val="hybridMultilevel"/>
    <w:tmpl w:val="8ECCB0C0"/>
    <w:lvl w:ilvl="0" w:tplc="7DE4026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B70788"/>
    <w:multiLevelType w:val="hybridMultilevel"/>
    <w:tmpl w:val="2F82F9E0"/>
    <w:lvl w:ilvl="0" w:tplc="21506A8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21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3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DF746E"/>
    <w:multiLevelType w:val="hybridMultilevel"/>
    <w:tmpl w:val="1D98D50A"/>
    <w:lvl w:ilvl="0" w:tplc="59BC06E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7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8"/>
  </w:num>
  <w:num w:numId="3">
    <w:abstractNumId w:val="39"/>
  </w:num>
  <w:num w:numId="4">
    <w:abstractNumId w:val="30"/>
  </w:num>
  <w:num w:numId="5">
    <w:abstractNumId w:val="18"/>
  </w:num>
  <w:num w:numId="6">
    <w:abstractNumId w:val="32"/>
  </w:num>
  <w:num w:numId="7">
    <w:abstractNumId w:val="4"/>
  </w:num>
  <w:num w:numId="8">
    <w:abstractNumId w:val="33"/>
  </w:num>
  <w:num w:numId="9">
    <w:abstractNumId w:val="22"/>
  </w:num>
  <w:num w:numId="10">
    <w:abstractNumId w:val="2"/>
  </w:num>
  <w:num w:numId="11">
    <w:abstractNumId w:val="5"/>
  </w:num>
  <w:num w:numId="12">
    <w:abstractNumId w:val="27"/>
  </w:num>
  <w:num w:numId="13">
    <w:abstractNumId w:val="24"/>
  </w:num>
  <w:num w:numId="14">
    <w:abstractNumId w:val="21"/>
  </w:num>
  <w:num w:numId="15">
    <w:abstractNumId w:val="41"/>
  </w:num>
  <w:num w:numId="16">
    <w:abstractNumId w:val="20"/>
  </w:num>
  <w:num w:numId="17">
    <w:abstractNumId w:val="36"/>
  </w:num>
  <w:num w:numId="18">
    <w:abstractNumId w:val="3"/>
  </w:num>
  <w:num w:numId="19">
    <w:abstractNumId w:val="11"/>
  </w:num>
  <w:num w:numId="20">
    <w:abstractNumId w:val="1"/>
  </w:num>
  <w:num w:numId="21">
    <w:abstractNumId w:val="19"/>
  </w:num>
  <w:num w:numId="22">
    <w:abstractNumId w:val="34"/>
  </w:num>
  <w:num w:numId="23">
    <w:abstractNumId w:val="31"/>
  </w:num>
  <w:num w:numId="24">
    <w:abstractNumId w:val="9"/>
  </w:num>
  <w:num w:numId="25">
    <w:abstractNumId w:val="17"/>
  </w:num>
  <w:num w:numId="26">
    <w:abstractNumId w:val="38"/>
  </w:num>
  <w:num w:numId="27">
    <w:abstractNumId w:val="28"/>
  </w:num>
  <w:num w:numId="28">
    <w:abstractNumId w:val="40"/>
  </w:num>
  <w:num w:numId="29">
    <w:abstractNumId w:val="7"/>
  </w:num>
  <w:num w:numId="30">
    <w:abstractNumId w:val="14"/>
  </w:num>
  <w:num w:numId="31">
    <w:abstractNumId w:val="23"/>
  </w:num>
  <w:num w:numId="32">
    <w:abstractNumId w:val="12"/>
  </w:num>
  <w:num w:numId="33">
    <w:abstractNumId w:val="10"/>
  </w:num>
  <w:num w:numId="34">
    <w:abstractNumId w:val="26"/>
  </w:num>
  <w:num w:numId="35">
    <w:abstractNumId w:val="0"/>
  </w:num>
  <w:num w:numId="36">
    <w:abstractNumId w:val="37"/>
  </w:num>
  <w:num w:numId="37">
    <w:abstractNumId w:val="15"/>
  </w:num>
  <w:num w:numId="38">
    <w:abstractNumId w:val="25"/>
  </w:num>
  <w:num w:numId="39">
    <w:abstractNumId w:val="6"/>
  </w:num>
  <w:num w:numId="40">
    <w:abstractNumId w:val="13"/>
  </w:num>
  <w:num w:numId="41">
    <w:abstractNumId w:val="1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0"/>
    <w:rsid w:val="000B1D32"/>
    <w:rsid w:val="000B1EAE"/>
    <w:rsid w:val="000D02CD"/>
    <w:rsid w:val="000D6986"/>
    <w:rsid w:val="00174D41"/>
    <w:rsid w:val="001A1505"/>
    <w:rsid w:val="001D680E"/>
    <w:rsid w:val="0022165D"/>
    <w:rsid w:val="002424D7"/>
    <w:rsid w:val="0024793A"/>
    <w:rsid w:val="00272A5B"/>
    <w:rsid w:val="00280880"/>
    <w:rsid w:val="002868C6"/>
    <w:rsid w:val="002D5667"/>
    <w:rsid w:val="003B64B1"/>
    <w:rsid w:val="003E08D9"/>
    <w:rsid w:val="00470E80"/>
    <w:rsid w:val="005719D7"/>
    <w:rsid w:val="005A0C68"/>
    <w:rsid w:val="006071DB"/>
    <w:rsid w:val="00641EE1"/>
    <w:rsid w:val="006829F2"/>
    <w:rsid w:val="00683E28"/>
    <w:rsid w:val="006A7476"/>
    <w:rsid w:val="006D26C6"/>
    <w:rsid w:val="0071684F"/>
    <w:rsid w:val="00767216"/>
    <w:rsid w:val="0078609B"/>
    <w:rsid w:val="007A5E36"/>
    <w:rsid w:val="008644D1"/>
    <w:rsid w:val="00875F1A"/>
    <w:rsid w:val="009A1E0F"/>
    <w:rsid w:val="009E6531"/>
    <w:rsid w:val="00A67916"/>
    <w:rsid w:val="00A9403C"/>
    <w:rsid w:val="00AD5035"/>
    <w:rsid w:val="00B70FDE"/>
    <w:rsid w:val="00B72697"/>
    <w:rsid w:val="00BD006B"/>
    <w:rsid w:val="00BF4426"/>
    <w:rsid w:val="00C722C0"/>
    <w:rsid w:val="00C97453"/>
    <w:rsid w:val="00CA7E65"/>
    <w:rsid w:val="00CE131B"/>
    <w:rsid w:val="00CF4AA8"/>
    <w:rsid w:val="00D02D32"/>
    <w:rsid w:val="00D91A59"/>
    <w:rsid w:val="00E87BBC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775441D-C62F-4F8D-9932-63F9545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(文字)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a.or.jp/tos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541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shuppan07</cp:lastModifiedBy>
  <cp:revision>2</cp:revision>
  <cp:lastPrinted>2015-04-17T05:24:00Z</cp:lastPrinted>
  <dcterms:created xsi:type="dcterms:W3CDTF">2019-09-13T00:50:00Z</dcterms:created>
  <dcterms:modified xsi:type="dcterms:W3CDTF">2019-09-13T00:50:00Z</dcterms:modified>
</cp:coreProperties>
</file>